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C25AC1" w14:textId="5340DFA1" w:rsidR="00DD43F2" w:rsidRPr="001D7E7B" w:rsidRDefault="0054234D" w:rsidP="00DD43F2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304EE9">
        <w:rPr>
          <w:rFonts w:cs="Arial"/>
          <w:bCs/>
          <w:sz w:val="28"/>
        </w:rPr>
        <w:t xml:space="preserve">3GPP </w:t>
      </w:r>
      <w:r w:rsidRPr="001D7E7B">
        <w:rPr>
          <w:rFonts w:cs="Arial"/>
          <w:bCs/>
          <w:sz w:val="28"/>
        </w:rPr>
        <w:t>TSG RAN WG</w:t>
      </w:r>
      <w:r w:rsidRPr="001D7E7B">
        <w:rPr>
          <w:rFonts w:cs="Arial" w:hint="eastAsia"/>
          <w:bCs/>
          <w:sz w:val="28"/>
          <w:lang w:eastAsia="ja-JP"/>
        </w:rPr>
        <w:t>4</w:t>
      </w:r>
      <w:r w:rsidRPr="001D7E7B">
        <w:rPr>
          <w:rFonts w:cs="Arial"/>
          <w:bCs/>
          <w:sz w:val="28"/>
        </w:rPr>
        <w:t xml:space="preserve"> Meeting </w:t>
      </w:r>
      <w:r w:rsidRPr="001D7E7B">
        <w:rPr>
          <w:rFonts w:cs="Arial"/>
          <w:bCs/>
          <w:sz w:val="28"/>
          <w:lang w:eastAsia="ja-JP"/>
        </w:rPr>
        <w:t>#</w:t>
      </w:r>
      <w:r w:rsidR="00E03447" w:rsidRPr="001D7E7B">
        <w:rPr>
          <w:rFonts w:cs="Arial"/>
          <w:bCs/>
          <w:sz w:val="28"/>
          <w:lang w:eastAsia="ja-JP"/>
        </w:rPr>
        <w:t>88</w:t>
      </w:r>
      <w:r w:rsidR="006C3F31" w:rsidRPr="001D7E7B">
        <w:rPr>
          <w:rFonts w:cs="Arial"/>
          <w:bCs/>
          <w:sz w:val="28"/>
          <w:lang w:eastAsia="ja-JP"/>
        </w:rPr>
        <w:t>bis</w:t>
      </w:r>
      <w:r w:rsidR="00DD43F2" w:rsidRPr="001D7E7B">
        <w:rPr>
          <w:rFonts w:cs="Arial" w:hint="eastAsia"/>
          <w:bCs/>
          <w:sz w:val="28"/>
          <w:lang w:eastAsia="ja-JP"/>
        </w:rPr>
        <w:tab/>
      </w:r>
      <w:r w:rsidR="00DD43F2" w:rsidRPr="001D7E7B">
        <w:rPr>
          <w:rFonts w:cs="Arial" w:hint="eastAsia"/>
          <w:bCs/>
          <w:sz w:val="28"/>
          <w:lang w:eastAsia="ja-JP"/>
        </w:rPr>
        <w:tab/>
      </w:r>
      <w:r w:rsidR="00DD43F2" w:rsidRPr="001D7E7B">
        <w:rPr>
          <w:rFonts w:cs="Arial"/>
          <w:bCs/>
          <w:sz w:val="28"/>
          <w:lang w:eastAsia="ja-JP"/>
        </w:rPr>
        <w:t>R</w:t>
      </w:r>
      <w:r w:rsidR="00DD43F2" w:rsidRPr="001D7E7B">
        <w:rPr>
          <w:rFonts w:cs="Arial" w:hint="eastAsia"/>
          <w:bCs/>
          <w:sz w:val="28"/>
          <w:lang w:eastAsia="ja-JP"/>
        </w:rPr>
        <w:t>4</w:t>
      </w:r>
      <w:r w:rsidR="00DD43F2" w:rsidRPr="001D7E7B">
        <w:rPr>
          <w:rFonts w:cs="Arial"/>
          <w:bCs/>
          <w:sz w:val="28"/>
          <w:lang w:eastAsia="ja-JP"/>
        </w:rPr>
        <w:t>-1</w:t>
      </w:r>
      <w:r w:rsidR="00D57BC8" w:rsidRPr="001D7E7B">
        <w:rPr>
          <w:rFonts w:cs="Arial"/>
          <w:bCs/>
          <w:sz w:val="28"/>
          <w:lang w:eastAsia="ja-JP"/>
        </w:rPr>
        <w:t>8</w:t>
      </w:r>
      <w:r w:rsidR="001D7E7B" w:rsidRPr="001D7E7B">
        <w:rPr>
          <w:rFonts w:cs="Arial"/>
          <w:bCs/>
          <w:sz w:val="28"/>
          <w:lang w:eastAsia="ja-JP"/>
        </w:rPr>
        <w:t>12708</w:t>
      </w:r>
    </w:p>
    <w:p w14:paraId="02208DFC" w14:textId="68A046F9" w:rsidR="00DD43F2" w:rsidRPr="001D7E7B" w:rsidRDefault="005E3EA3" w:rsidP="00DD43F2">
      <w:pPr>
        <w:pStyle w:val="a4"/>
        <w:rPr>
          <w:rFonts w:cs="Arial"/>
          <w:bCs/>
          <w:sz w:val="28"/>
          <w:lang w:eastAsia="ja-JP"/>
        </w:rPr>
      </w:pPr>
      <w:r w:rsidRPr="001D7E7B">
        <w:rPr>
          <w:rFonts w:cs="Arial"/>
          <w:bCs/>
          <w:sz w:val="28"/>
          <w:lang w:eastAsia="ja-JP"/>
        </w:rPr>
        <w:t>Chengdu, CN, 8th – 12th Oct, 2018</w:t>
      </w:r>
    </w:p>
    <w:p w14:paraId="35F3B75E" w14:textId="77777777" w:rsidR="00DD43F2" w:rsidRPr="001D7E7B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61CE5B2E" w14:textId="77777777" w:rsidR="00DD43F2" w:rsidRPr="001D7E7B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1D7E7B">
        <w:rPr>
          <w:rFonts w:ascii="Arial" w:hAnsi="Arial"/>
          <w:b/>
          <w:sz w:val="24"/>
          <w:lang w:val="fr-FR"/>
        </w:rPr>
        <w:t xml:space="preserve">Source: </w:t>
      </w:r>
      <w:r w:rsidRPr="001D7E7B">
        <w:rPr>
          <w:rFonts w:ascii="Arial" w:hAnsi="Arial"/>
          <w:b/>
          <w:sz w:val="24"/>
          <w:lang w:val="fr-FR"/>
        </w:rPr>
        <w:tab/>
      </w:r>
      <w:r w:rsidRPr="001D7E7B">
        <w:rPr>
          <w:rFonts w:ascii="Arial" w:eastAsia="ＭＳ 明朝" w:hAnsi="Arial" w:hint="eastAsia"/>
          <w:sz w:val="24"/>
          <w:lang w:val="en-US"/>
        </w:rPr>
        <w:t>NTT DOCOMO, INC.</w:t>
      </w:r>
    </w:p>
    <w:p w14:paraId="448CCFDF" w14:textId="49EA5016" w:rsidR="00DD43F2" w:rsidRPr="001D7E7B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Theme="minorEastAsia" w:hAnsi="Arial"/>
          <w:sz w:val="24"/>
          <w:lang w:val="en-US" w:eastAsia="ja-JP"/>
        </w:rPr>
      </w:pPr>
      <w:r w:rsidRPr="001D7E7B">
        <w:rPr>
          <w:rFonts w:ascii="Arial" w:hAnsi="Arial"/>
          <w:b/>
          <w:sz w:val="24"/>
          <w:lang w:val="en-US"/>
        </w:rPr>
        <w:t>Title:</w:t>
      </w:r>
      <w:r w:rsidRPr="001D7E7B">
        <w:rPr>
          <w:rFonts w:ascii="Arial" w:hAnsi="Arial"/>
          <w:sz w:val="24"/>
          <w:lang w:val="en-US"/>
        </w:rPr>
        <w:t xml:space="preserve"> </w:t>
      </w:r>
      <w:r w:rsidRPr="001D7E7B">
        <w:rPr>
          <w:rFonts w:ascii="Arial" w:hAnsi="Arial"/>
          <w:sz w:val="24"/>
          <w:lang w:val="en-US"/>
        </w:rPr>
        <w:tab/>
      </w:r>
      <w:r w:rsidR="005A74EC" w:rsidRPr="001D7E7B">
        <w:rPr>
          <w:rFonts w:ascii="Arial" w:hAnsi="Arial"/>
          <w:sz w:val="24"/>
          <w:lang w:val="en-US"/>
        </w:rPr>
        <w:t>I</w:t>
      </w:r>
      <w:r w:rsidR="00AD0335" w:rsidRPr="001D7E7B">
        <w:rPr>
          <w:rFonts w:ascii="Arial" w:hAnsi="Arial"/>
          <w:sz w:val="24"/>
          <w:lang w:val="en-US"/>
        </w:rPr>
        <w:t>ntra</w:t>
      </w:r>
      <w:r w:rsidR="00A47A32" w:rsidRPr="001D7E7B">
        <w:rPr>
          <w:rFonts w:ascii="Arial" w:hAnsi="Arial"/>
          <w:sz w:val="24"/>
          <w:lang w:val="en-US"/>
        </w:rPr>
        <w:t xml:space="preserve">-frequency </w:t>
      </w:r>
      <w:r w:rsidR="003E2C1E" w:rsidRPr="001D7E7B">
        <w:rPr>
          <w:rFonts w:ascii="Arial" w:hAnsi="Arial"/>
          <w:sz w:val="24"/>
          <w:lang w:val="en-US"/>
        </w:rPr>
        <w:t xml:space="preserve">measurement </w:t>
      </w:r>
      <w:r w:rsidR="00A47A32" w:rsidRPr="001D7E7B">
        <w:rPr>
          <w:rFonts w:ascii="Arial" w:hAnsi="Arial"/>
          <w:sz w:val="24"/>
          <w:lang w:val="en-US"/>
        </w:rPr>
        <w:t>requirements in DRX</w:t>
      </w:r>
      <w:r w:rsidR="00FC4F77" w:rsidRPr="001D7E7B">
        <w:rPr>
          <w:rFonts w:ascii="Arial" w:hAnsi="Arial"/>
          <w:sz w:val="24"/>
          <w:lang w:val="en-US"/>
        </w:rPr>
        <w:t xml:space="preserve"> mode</w:t>
      </w:r>
    </w:p>
    <w:p w14:paraId="6016352C" w14:textId="3337B946" w:rsidR="00285B8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1D7E7B">
        <w:rPr>
          <w:rFonts w:ascii="Arial" w:hAnsi="Arial"/>
          <w:b/>
          <w:sz w:val="24"/>
          <w:lang w:val="pt-BR"/>
        </w:rPr>
        <w:t>Agenda item:</w:t>
      </w:r>
      <w:r w:rsidRPr="001D7E7B">
        <w:rPr>
          <w:rFonts w:ascii="Arial" w:hAnsi="Arial"/>
          <w:sz w:val="24"/>
          <w:lang w:val="pt-BR"/>
        </w:rPr>
        <w:tab/>
      </w:r>
      <w:r w:rsidR="004E026C" w:rsidRPr="001D7E7B">
        <w:rPr>
          <w:rFonts w:ascii="Arial" w:eastAsiaTheme="minorEastAsia" w:hAnsi="Arial" w:hint="eastAsia"/>
          <w:sz w:val="24"/>
          <w:lang w:val="pt-BR" w:eastAsia="ja-JP"/>
        </w:rPr>
        <w:t>7.11.3.2.2</w:t>
      </w:r>
    </w:p>
    <w:p w14:paraId="13DCDC32" w14:textId="77777777"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14:paraId="1AF81DA4" w14:textId="77777777"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3B95EE40" w14:textId="2EE73D3F" w:rsidR="00BC6148" w:rsidRPr="0087523B" w:rsidRDefault="00FC4F77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</w:t>
      </w:r>
      <w:r w:rsidR="00DC7043">
        <w:rPr>
          <w:rFonts w:eastAsiaTheme="minorEastAsia"/>
          <w:lang w:eastAsia="ja-JP"/>
        </w:rPr>
        <w:t>R intra</w:t>
      </w:r>
      <w:r>
        <w:rPr>
          <w:rFonts w:eastAsiaTheme="minorEastAsia"/>
          <w:lang w:eastAsia="ja-JP"/>
        </w:rPr>
        <w:t>-frequency measurement requir</w:t>
      </w:r>
      <w:r w:rsidR="00041FC6">
        <w:rPr>
          <w:rFonts w:eastAsiaTheme="minorEastAsia"/>
          <w:lang w:eastAsia="ja-JP"/>
        </w:rPr>
        <w:t xml:space="preserve">ement is still under discussion, especially the </w:t>
      </w:r>
      <w:r w:rsidR="004B10D6">
        <w:rPr>
          <w:rFonts w:eastAsiaTheme="minorEastAsia"/>
          <w:lang w:eastAsia="ja-JP"/>
        </w:rPr>
        <w:t xml:space="preserve">measurement </w:t>
      </w:r>
      <w:r w:rsidR="00041FC6">
        <w:rPr>
          <w:rFonts w:eastAsiaTheme="minorEastAsia"/>
          <w:lang w:eastAsia="ja-JP"/>
        </w:rPr>
        <w:t>requirement in</w:t>
      </w:r>
      <w:r>
        <w:rPr>
          <w:rFonts w:eastAsiaTheme="minorEastAsia"/>
          <w:lang w:eastAsia="ja-JP"/>
        </w:rPr>
        <w:t xml:space="preserve"> non-DRX mode </w:t>
      </w:r>
      <w:r w:rsidR="000948B1">
        <w:rPr>
          <w:rFonts w:eastAsiaTheme="minorEastAsia"/>
          <w:lang w:eastAsia="ja-JP"/>
        </w:rPr>
        <w:t>is discussed</w:t>
      </w:r>
      <w:r w:rsidR="00DC7043">
        <w:rPr>
          <w:rFonts w:eastAsiaTheme="minorEastAsia"/>
          <w:lang w:eastAsia="ja-JP"/>
        </w:rPr>
        <w:t xml:space="preserve"> </w:t>
      </w:r>
      <w:r w:rsidR="000948B1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>o far</w:t>
      </w:r>
      <w:r w:rsidR="00041FC6">
        <w:rPr>
          <w:rFonts w:eastAsiaTheme="minorEastAsia"/>
          <w:lang w:eastAsia="ja-JP"/>
        </w:rPr>
        <w:t>. Regarding</w:t>
      </w:r>
      <w:r>
        <w:rPr>
          <w:rFonts w:eastAsiaTheme="minorEastAsia"/>
          <w:lang w:eastAsia="ja-JP"/>
        </w:rPr>
        <w:t xml:space="preserve"> the </w:t>
      </w:r>
      <w:r w:rsidR="004B10D6">
        <w:rPr>
          <w:rFonts w:eastAsiaTheme="minorEastAsia"/>
          <w:lang w:eastAsia="ja-JP"/>
        </w:rPr>
        <w:t xml:space="preserve">measurement </w:t>
      </w:r>
      <w:r>
        <w:rPr>
          <w:rFonts w:eastAsiaTheme="minorEastAsia"/>
          <w:lang w:eastAsia="ja-JP"/>
        </w:rPr>
        <w:t>requirements in DRX mode</w:t>
      </w:r>
      <w:r w:rsidR="00041FC6">
        <w:rPr>
          <w:rFonts w:eastAsiaTheme="minorEastAsia"/>
          <w:lang w:eastAsia="ja-JP"/>
        </w:rPr>
        <w:t xml:space="preserve">, although some contributions were proposed in the last RAN4 meeting, there was no agreement. </w:t>
      </w:r>
      <w:r>
        <w:rPr>
          <w:rFonts w:eastAsiaTheme="minorEastAsia"/>
          <w:lang w:eastAsia="ja-JP"/>
        </w:rPr>
        <w:t>In this contributio</w:t>
      </w:r>
      <w:r w:rsidR="00681209">
        <w:rPr>
          <w:rFonts w:eastAsiaTheme="minorEastAsia"/>
          <w:lang w:eastAsia="ja-JP"/>
        </w:rPr>
        <w:t>n, we provide our views on intra</w:t>
      </w:r>
      <w:r>
        <w:rPr>
          <w:rFonts w:eastAsiaTheme="minorEastAsia"/>
          <w:lang w:eastAsia="ja-JP"/>
        </w:rPr>
        <w:t>-frequency measurement requirements in DRX mode.</w:t>
      </w:r>
    </w:p>
    <w:p w14:paraId="01E1E6A5" w14:textId="77777777"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1BCF32C8" w14:textId="69334005" w:rsidR="005201C3" w:rsidRPr="006C1D6D" w:rsidRDefault="00EC6164" w:rsidP="00C80A68">
      <w:pPr>
        <w:rPr>
          <w:rFonts w:eastAsia="ＭＳ 明朝" w:cs="v5.0.0"/>
          <w:lang w:val="en-US" w:eastAsia="ja-JP"/>
        </w:rPr>
      </w:pPr>
      <w:r>
        <w:rPr>
          <w:rFonts w:eastAsia="ＭＳ 明朝" w:cs="v5.0.0"/>
          <w:lang w:val="en-US" w:eastAsia="ja-JP"/>
        </w:rPr>
        <w:t>Regarding measurement requirements in DRX mode in case of LTE-DC</w:t>
      </w:r>
      <w:r w:rsidR="00FE5719">
        <w:rPr>
          <w:rFonts w:eastAsia="ＭＳ 明朝" w:cs="v5.0.0"/>
          <w:lang w:val="en-US" w:eastAsia="ja-JP"/>
        </w:rPr>
        <w:t>, following se</w:t>
      </w:r>
      <w:r w:rsidR="00E325DD">
        <w:rPr>
          <w:rFonts w:eastAsia="ＭＳ 明朝" w:cs="v5.0.0"/>
          <w:lang w:val="en-US" w:eastAsia="ja-JP"/>
        </w:rPr>
        <w:t>ntences are captured in [1</w:t>
      </w:r>
      <w:r w:rsidR="000A04B1">
        <w:rPr>
          <w:rFonts w:eastAsia="ＭＳ 明朝" w:cs="v5.0.0"/>
          <w:lang w:val="en-US" w:eastAsia="ja-JP"/>
        </w:rPr>
        <w:t>]</w:t>
      </w:r>
      <w:r w:rsidR="00681209">
        <w:rPr>
          <w:rFonts w:eastAsia="ＭＳ 明朝" w:cs="v5.0.0"/>
          <w:lang w:val="en-US" w:eastAsia="ja-JP"/>
        </w:rPr>
        <w:t>, i.e., i</w:t>
      </w:r>
      <w:r w:rsidR="00334614">
        <w:rPr>
          <w:rFonts w:eastAsia="ＭＳ 明朝" w:cs="v5.0.0"/>
          <w:lang w:val="en-US" w:eastAsia="ja-JP"/>
        </w:rPr>
        <w:t xml:space="preserve">ntra-frequency measurements in DRX mode </w:t>
      </w:r>
      <w:r w:rsidR="00E80F8D">
        <w:rPr>
          <w:rFonts w:eastAsia="ＭＳ 明朝" w:cs="v5.0.0"/>
          <w:lang w:val="en-US" w:eastAsia="ja-JP"/>
        </w:rPr>
        <w:t xml:space="preserve">apply and </w:t>
      </w:r>
      <w:r w:rsidR="003E2C1E">
        <w:rPr>
          <w:rFonts w:eastAsia="ＭＳ 明朝" w:cs="v5.0.0"/>
          <w:lang w:val="en-US" w:eastAsia="ja-JP"/>
        </w:rPr>
        <w:t>depend on</w:t>
      </w:r>
      <w:r w:rsidR="00334614">
        <w:rPr>
          <w:rFonts w:eastAsia="ＭＳ 明朝" w:cs="v5.0.0"/>
          <w:lang w:val="en-US" w:eastAsia="ja-JP"/>
        </w:rPr>
        <w:t xml:space="preserve"> </w:t>
      </w:r>
      <w:r w:rsidR="007206C6">
        <w:rPr>
          <w:rFonts w:eastAsia="ＭＳ 明朝" w:cs="v5.0.0"/>
          <w:lang w:val="en-US" w:eastAsia="ja-JP"/>
        </w:rPr>
        <w:t xml:space="preserve">the </w:t>
      </w:r>
      <w:r w:rsidR="00C11209">
        <w:rPr>
          <w:rFonts w:eastAsia="ＭＳ 明朝" w:cs="v5.0.0"/>
          <w:lang w:val="en-US" w:eastAsia="ja-JP"/>
        </w:rPr>
        <w:t>DRX cycle configured on</w:t>
      </w:r>
      <w:r w:rsidR="00E80F8D">
        <w:rPr>
          <w:rFonts w:eastAsia="ＭＳ 明朝" w:cs="v5.0.0"/>
          <w:lang w:val="en-US" w:eastAsia="ja-JP"/>
        </w:rPr>
        <w:t xml:space="preserve"> each cell group</w:t>
      </w:r>
      <w:r w:rsidR="005201C3">
        <w:rPr>
          <w:rFonts w:eastAsia="ＭＳ 明朝" w:cs="v5.0.0"/>
          <w:lang w:val="en-US" w:eastAsia="ja-JP"/>
        </w:rPr>
        <w:t xml:space="preserve">. In NR DC </w:t>
      </w:r>
      <w:r w:rsidR="00681209">
        <w:rPr>
          <w:rFonts w:eastAsia="ＭＳ 明朝" w:cs="v5.0.0"/>
          <w:lang w:val="en-US" w:eastAsia="ja-JP"/>
        </w:rPr>
        <w:t>case</w:t>
      </w:r>
      <w:r w:rsidR="005201C3">
        <w:rPr>
          <w:rFonts w:eastAsia="ＭＳ 明朝" w:cs="v5.0.0"/>
          <w:lang w:val="en-US" w:eastAsia="ja-JP"/>
        </w:rPr>
        <w:t xml:space="preserve"> including EN-DC, NE-DC and NR-NR DC</w:t>
      </w:r>
      <w:r w:rsidR="00681209">
        <w:rPr>
          <w:rFonts w:eastAsia="ＭＳ 明朝" w:cs="v5.0.0"/>
          <w:lang w:val="en-US" w:eastAsia="ja-JP"/>
        </w:rPr>
        <w:t xml:space="preserve">, the same principle </w:t>
      </w:r>
      <w:r w:rsidR="005201C3">
        <w:rPr>
          <w:rFonts w:eastAsia="ＭＳ 明朝" w:cs="v5.0.0"/>
          <w:lang w:val="en-US" w:eastAsia="ja-JP"/>
        </w:rPr>
        <w:t xml:space="preserve">as LTE-DC </w:t>
      </w:r>
      <w:r w:rsidR="00681209">
        <w:rPr>
          <w:rFonts w:eastAsia="ＭＳ 明朝" w:cs="v5.0.0"/>
          <w:lang w:val="en-US" w:eastAsia="ja-JP"/>
        </w:rPr>
        <w:t>should be applied</w:t>
      </w:r>
      <w:r w:rsidR="00E80F8D">
        <w:rPr>
          <w:rFonts w:eastAsia="ＭＳ 明朝" w:cs="v5.0.0"/>
          <w:lang w:val="en-US" w:eastAsia="ja-JP"/>
        </w:rPr>
        <w:t xml:space="preserve">, </w:t>
      </w:r>
      <w:r w:rsidR="00681209">
        <w:rPr>
          <w:rFonts w:eastAsia="ＭＳ 明朝" w:cs="v5.0.0"/>
          <w:lang w:val="en-US" w:eastAsia="ja-JP"/>
        </w:rPr>
        <w:t xml:space="preserve">otherwise </w:t>
      </w:r>
      <w:r w:rsidR="00681209" w:rsidRPr="00681209">
        <w:rPr>
          <w:rFonts w:eastAsia="ＭＳ 明朝" w:cs="v5.0.0"/>
          <w:lang w:val="en-US" w:eastAsia="ja-JP"/>
        </w:rPr>
        <w:t>unexpected measurement delay would be occurred</w:t>
      </w:r>
      <w:r w:rsidR="006C1D6D">
        <w:rPr>
          <w:rFonts w:eastAsia="ＭＳ 明朝" w:cs="v5.0.0"/>
          <w:lang w:val="en-US" w:eastAsia="ja-JP"/>
        </w:rPr>
        <w:t xml:space="preserve">. </w:t>
      </w:r>
      <w:r w:rsidR="005201C3">
        <w:rPr>
          <w:rFonts w:eastAsia="ＭＳ 明朝" w:cs="v5.0.0"/>
          <w:lang w:val="en-US" w:eastAsia="ja-JP"/>
        </w:rPr>
        <w:t>I</w:t>
      </w:r>
      <w:r w:rsidR="0039425D">
        <w:rPr>
          <w:rFonts w:eastAsia="ＭＳ 明朝" w:cs="v5.0.0"/>
          <w:lang w:val="en-US" w:eastAsia="ja-JP"/>
        </w:rPr>
        <w:t xml:space="preserve">n case of EN-DC, </w:t>
      </w:r>
      <w:r w:rsidR="005201C3">
        <w:rPr>
          <w:rFonts w:eastAsia="ＭＳ 明朝" w:cs="v5.0.0"/>
          <w:lang w:val="en-US" w:eastAsia="ja-JP"/>
        </w:rPr>
        <w:t xml:space="preserve">for example, </w:t>
      </w:r>
      <w:r w:rsidR="00147CFD" w:rsidRPr="00147CFD">
        <w:rPr>
          <w:rFonts w:eastAsia="ＭＳ 明朝" w:cs="v5.0.0"/>
          <w:lang w:val="en-US" w:eastAsia="ja-JP"/>
        </w:rPr>
        <w:t>intra-frequency requirements</w:t>
      </w:r>
      <w:r w:rsidR="00147CFD">
        <w:rPr>
          <w:rFonts w:eastAsia="ＭＳ 明朝" w:cs="v5.0.0"/>
          <w:lang w:val="en-US" w:eastAsia="ja-JP"/>
        </w:rPr>
        <w:t xml:space="preserve"> </w:t>
      </w:r>
      <w:r w:rsidR="00687116">
        <w:rPr>
          <w:rFonts w:eastAsia="ＭＳ 明朝" w:cs="v5.0.0"/>
          <w:lang w:val="en-US" w:eastAsia="ja-JP"/>
        </w:rPr>
        <w:t xml:space="preserve">in DRX mode </w:t>
      </w:r>
      <w:r w:rsidR="00147CFD">
        <w:rPr>
          <w:rFonts w:eastAsia="ＭＳ 明朝" w:cs="v5.0.0"/>
          <w:lang w:val="en-US" w:eastAsia="ja-JP"/>
        </w:rPr>
        <w:t xml:space="preserve">for </w:t>
      </w:r>
      <w:r w:rsidR="00687116">
        <w:rPr>
          <w:rFonts w:eastAsia="ＭＳ 明朝" w:cs="v5.0.0"/>
          <w:lang w:val="en-US" w:eastAsia="ja-JP"/>
        </w:rPr>
        <w:t xml:space="preserve">LTE </w:t>
      </w:r>
      <w:r w:rsidR="00147CFD">
        <w:rPr>
          <w:rFonts w:eastAsia="ＭＳ 明朝" w:cs="v5.0.0"/>
          <w:lang w:val="en-US" w:eastAsia="ja-JP"/>
        </w:rPr>
        <w:t>PCell</w:t>
      </w:r>
      <w:r w:rsidR="00687116">
        <w:rPr>
          <w:rFonts w:eastAsia="ＭＳ 明朝" w:cs="v5.0.0"/>
          <w:lang w:val="en-US" w:eastAsia="ja-JP"/>
        </w:rPr>
        <w:t xml:space="preserve"> </w:t>
      </w:r>
      <w:r w:rsidR="005201C3">
        <w:rPr>
          <w:rFonts w:eastAsia="ＭＳ 明朝" w:cs="v5.0.0"/>
          <w:lang w:val="en-US" w:eastAsia="ja-JP"/>
        </w:rPr>
        <w:t>should apply t</w:t>
      </w:r>
      <w:r w:rsidR="00687116" w:rsidRPr="00687116">
        <w:rPr>
          <w:rFonts w:eastAsia="ＭＳ 明朝" w:cs="v5.0.0"/>
          <w:lang w:val="en-US" w:eastAsia="ja-JP"/>
        </w:rPr>
        <w:t>he MCG DRX cycle</w:t>
      </w:r>
      <w:r w:rsidR="00687116">
        <w:rPr>
          <w:rFonts w:eastAsia="ＭＳ 明朝" w:cs="v5.0.0"/>
          <w:lang w:val="en-US" w:eastAsia="ja-JP"/>
        </w:rPr>
        <w:t xml:space="preserve"> and </w:t>
      </w:r>
      <w:r w:rsidR="00687116" w:rsidRPr="00147CFD">
        <w:rPr>
          <w:rFonts w:eastAsia="ＭＳ 明朝" w:cs="v5.0.0"/>
          <w:lang w:val="en-US" w:eastAsia="ja-JP"/>
        </w:rPr>
        <w:t>intra-frequency requirements</w:t>
      </w:r>
      <w:r w:rsidR="00687116">
        <w:rPr>
          <w:rFonts w:eastAsia="ＭＳ 明朝" w:cs="v5.0.0"/>
          <w:lang w:val="en-US" w:eastAsia="ja-JP"/>
        </w:rPr>
        <w:t xml:space="preserve"> in DRX mode for NR PSCell</w:t>
      </w:r>
      <w:r w:rsidR="005201C3">
        <w:rPr>
          <w:rFonts w:eastAsia="ＭＳ 明朝" w:cs="v5.0.0"/>
          <w:lang w:val="en-US" w:eastAsia="ja-JP"/>
        </w:rPr>
        <w:t xml:space="preserve"> should apply the S</w:t>
      </w:r>
      <w:r w:rsidR="005201C3" w:rsidRPr="00687116">
        <w:rPr>
          <w:rFonts w:eastAsia="ＭＳ 明朝" w:cs="v5.0.0"/>
          <w:lang w:val="en-US" w:eastAsia="ja-JP"/>
        </w:rPr>
        <w:t>CG DRX cycle</w:t>
      </w:r>
      <w:r w:rsidR="005201C3">
        <w:rPr>
          <w:rFonts w:eastAsia="ＭＳ 明朝" w:cs="v5.0.0"/>
          <w:lang w:val="en-US" w:eastAsia="ja-JP"/>
        </w:rPr>
        <w:t>.</w:t>
      </w:r>
    </w:p>
    <w:p w14:paraId="550A41B6" w14:textId="0587B791" w:rsidR="00FE5719" w:rsidRDefault="00FE5719" w:rsidP="00C80A68">
      <w:pPr>
        <w:rPr>
          <w:rFonts w:eastAsia="ＭＳ 明朝" w:cs="v5.0.0"/>
          <w:lang w:val="en-US"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03D77" w14:paraId="0EAE078A" w14:textId="77777777" w:rsidTr="00603D77">
        <w:tc>
          <w:tcPr>
            <w:tcW w:w="9855" w:type="dxa"/>
          </w:tcPr>
          <w:p w14:paraId="6003FCF3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8.8.2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PCell</w:t>
            </w:r>
          </w:p>
          <w:p w14:paraId="140BCE3F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/>
                <w:lang w:eastAsia="zh-CN"/>
              </w:rPr>
              <w:t>PCell intra-frequency m</w:t>
            </w:r>
            <w:r w:rsidRPr="00603D77">
              <w:rPr>
                <w:rFonts w:eastAsia="Times New Roman" w:hint="eastAsia"/>
                <w:lang w:eastAsia="zh-CN"/>
              </w:rPr>
              <w:t>easurements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</w:t>
            </w:r>
            <w:r w:rsidRPr="00603D77">
              <w:rPr>
                <w:rFonts w:eastAsia="Times New Roman" w:hint="eastAsia"/>
                <w:lang w:eastAsia="ko-KR"/>
              </w:rPr>
              <w:t>2</w:t>
            </w:r>
            <w:r w:rsidRPr="00603D77">
              <w:rPr>
                <w:rFonts w:eastAsia="Times New Roman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MCG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PCell intra-frequency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54827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2 shall apply and shall depend on the MCG DRX cycle</w:t>
            </w:r>
            <w:r w:rsidRPr="00603D77">
              <w:rPr>
                <w:rFonts w:eastAsia="Times New Roman" w:hint="eastAsia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23F403CE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ko-KR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8.8.3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Intra-frequency measurements requirements on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 xml:space="preserve"> P</w:t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S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>Cell</w:t>
            </w:r>
          </w:p>
          <w:p w14:paraId="6342C329" w14:textId="77777777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lang w:eastAsia="ko-KR"/>
              </w:rPr>
            </w:pPr>
            <w:r w:rsidRPr="00603D77">
              <w:rPr>
                <w:rFonts w:eastAsia="Times New Roman" w:hint="eastAsia"/>
                <w:lang w:eastAsia="zh-CN"/>
              </w:rPr>
              <w:t>PSCell</w:t>
            </w:r>
            <w:r w:rsidRPr="00603D77">
              <w:rPr>
                <w:rFonts w:eastAsia="Times New Roman"/>
                <w:lang w:eastAsia="zh-CN"/>
              </w:rPr>
              <w:t xml:space="preserve"> starts with activated state upon configuration and cannot be deactivated</w:t>
            </w:r>
            <w:r w:rsidRPr="00603D77">
              <w:rPr>
                <w:rFonts w:eastAsia="Times New Roman" w:hint="eastAsia"/>
                <w:lang w:eastAsia="zh-CN"/>
              </w:rPr>
              <w:t xml:space="preserve">. </w:t>
            </w:r>
            <w:r w:rsidRPr="00603D77">
              <w:rPr>
                <w:rFonts w:eastAsia="Times New Roman"/>
                <w:lang w:eastAsia="zh-CN"/>
              </w:rPr>
              <w:t>PSCell intra-frequency m</w:t>
            </w:r>
            <w:r w:rsidRPr="00603D77">
              <w:rPr>
                <w:rFonts w:eastAsia="Times New Roman" w:hint="eastAsia"/>
                <w:lang w:eastAsia="zh-CN"/>
              </w:rPr>
              <w:t>easurements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603D77">
              <w:rPr>
                <w:rFonts w:eastAsia="Times New Roman"/>
                <w:lang w:eastAsia="ko-KR"/>
              </w:rPr>
              <w:t>shall meet all applicable requirements in clause 8.1.2.</w:t>
            </w:r>
            <w:r w:rsidRPr="00603D77">
              <w:rPr>
                <w:rFonts w:eastAsia="Times New Roman" w:hint="eastAsia"/>
                <w:lang w:eastAsia="ko-KR"/>
              </w:rPr>
              <w:t>2</w:t>
            </w:r>
            <w:r w:rsidRPr="00603D77">
              <w:rPr>
                <w:rFonts w:eastAsia="Times New Roman"/>
                <w:lang w:eastAsia="ko-KR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 xml:space="preserve"> 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If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SCG</w:t>
            </w:r>
            <w:r w:rsidRPr="00354827">
              <w:rPr>
                <w:rFonts w:eastAsia="Times New Roman" w:hint="eastAsia"/>
                <w:color w:val="FF0000"/>
                <w:lang w:eastAsia="zh-CN"/>
              </w:rPr>
              <w:t xml:space="preserve"> DRX is in use,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then the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PSCell intra-frequency </w:t>
            </w:r>
            <w:r w:rsidRPr="00354827">
              <w:rPr>
                <w:rFonts w:eastAsia="Times New Roman"/>
                <w:color w:val="FF0000"/>
                <w:lang w:eastAsia="ko-KR"/>
              </w:rPr>
              <w:t xml:space="preserve">requirements 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 xml:space="preserve">for when DRX is in use </w:t>
            </w:r>
            <w:r w:rsidRPr="00354827">
              <w:rPr>
                <w:rFonts w:eastAsia="Times New Roman"/>
                <w:color w:val="FF0000"/>
                <w:lang w:eastAsia="ko-KR"/>
              </w:rPr>
              <w:t>in clause 8.1.2.</w:t>
            </w:r>
            <w:r w:rsidRPr="00354827">
              <w:rPr>
                <w:rFonts w:eastAsia="Times New Roman" w:hint="eastAsia"/>
                <w:color w:val="FF0000"/>
                <w:lang w:eastAsia="ko-KR"/>
              </w:rPr>
              <w:t>2 shall apply and shall depend on the SCG DRX cycle.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.1.</w:t>
            </w:r>
          </w:p>
          <w:p w14:paraId="1345E71F" w14:textId="77777777" w:rsidR="00603D77" w:rsidRPr="00603D77" w:rsidRDefault="00603D77" w:rsidP="00603D77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zh-CN"/>
              </w:rPr>
            </w:pPr>
            <w:r w:rsidRPr="00603D77">
              <w:rPr>
                <w:rFonts w:ascii="Arial" w:eastAsia="Times New Roman" w:hAnsi="Arial"/>
                <w:sz w:val="28"/>
                <w:lang w:eastAsia="ko-KR"/>
              </w:rPr>
              <w:t>8.8.</w:t>
            </w:r>
            <w:r w:rsidRPr="00603D77">
              <w:rPr>
                <w:rFonts w:ascii="Arial" w:eastAsia="Times New Roman" w:hAnsi="Arial" w:hint="eastAsia"/>
                <w:sz w:val="28"/>
                <w:lang w:eastAsia="zh-CN"/>
              </w:rPr>
              <w:t>4</w:t>
            </w:r>
            <w:r w:rsidRPr="00603D77">
              <w:rPr>
                <w:rFonts w:ascii="Arial" w:eastAsia="Times New Roman" w:hAnsi="Arial"/>
                <w:sz w:val="28"/>
                <w:lang w:eastAsia="ko-KR"/>
              </w:rPr>
              <w:tab/>
            </w:r>
            <w:r w:rsidRPr="00603D77">
              <w:rPr>
                <w:rFonts w:ascii="Arial" w:eastAsia="Times New Roman" w:hAnsi="Arial" w:hint="eastAsia"/>
                <w:sz w:val="28"/>
                <w:lang w:eastAsia="ko-KR"/>
              </w:rPr>
              <w:t>Inter-frequency and inter-RAT measurement requirements</w:t>
            </w:r>
          </w:p>
          <w:p w14:paraId="7BC040F6" w14:textId="77777777" w:rsidR="00603D77" w:rsidRPr="00147CFD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color w:val="000000" w:themeColor="text1"/>
                <w:lang w:eastAsia="ko-KR"/>
              </w:rPr>
            </w:pP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Inter-frequency m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easurements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shall meet all applicable requirements in clause 8.1.2.3.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MCG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inter-frequency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3 shall apply and shall depend on the MCG DRX cycle.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O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>therwise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,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the </w:t>
            </w:r>
            <w:r w:rsidRPr="00147CFD">
              <w:rPr>
                <w:rFonts w:eastAsia="Times New Roman"/>
                <w:color w:val="000000" w:themeColor="text1"/>
                <w:lang w:eastAsia="zh-CN"/>
              </w:rPr>
              <w:t>requirements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not in use shall apply.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The applicable measurement accuracy requirements are in clause 9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>.1.</w:t>
            </w:r>
          </w:p>
          <w:p w14:paraId="0F7ECDE8" w14:textId="6366FB39" w:rsidR="00603D77" w:rsidRPr="00603D77" w:rsidRDefault="00603D77" w:rsidP="00603D7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DengXian"/>
                <w:lang w:eastAsia="zh-CN"/>
              </w:rPr>
            </w:pP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Inter-RAT m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easurements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shall meet all applicable requirements 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4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 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If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MCG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DRX is in use,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then the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inter-RAT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 xml:space="preserve">requirements 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 xml:space="preserve">for when DRX is in use </w:t>
            </w:r>
            <w:r w:rsidRPr="00147CFD">
              <w:rPr>
                <w:rFonts w:eastAsia="Times New Roman"/>
                <w:color w:val="000000" w:themeColor="text1"/>
                <w:lang w:eastAsia="ko-KR"/>
              </w:rPr>
              <w:t>in clause 8.1.2.</w:t>
            </w:r>
            <w:r w:rsidRPr="00147CFD">
              <w:rPr>
                <w:rFonts w:eastAsia="Times New Roman" w:hint="eastAsia"/>
                <w:color w:val="000000" w:themeColor="text1"/>
                <w:lang w:eastAsia="ko-KR"/>
              </w:rPr>
              <w:t>4 shall apply and shall depend on the MCG DRX cycle.</w:t>
            </w:r>
            <w:r w:rsidRPr="00147CFD">
              <w:rPr>
                <w:rFonts w:eastAsia="Times New Roman" w:hint="eastAsia"/>
                <w:color w:val="000000" w:themeColor="text1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>O</w:t>
            </w:r>
            <w:r w:rsidRPr="00603D77">
              <w:rPr>
                <w:rFonts w:eastAsia="Times New Roman" w:hint="eastAsia"/>
                <w:lang w:eastAsia="zh-CN"/>
              </w:rPr>
              <w:t>therwise</w:t>
            </w:r>
            <w:r w:rsidRPr="00603D77">
              <w:rPr>
                <w:rFonts w:eastAsia="Times New Roman" w:hint="eastAsia"/>
                <w:lang w:eastAsia="ko-KR"/>
              </w:rPr>
              <w:t>,</w:t>
            </w:r>
            <w:r w:rsidRPr="00603D77">
              <w:rPr>
                <w:rFonts w:eastAsia="Times New Roman" w:hint="eastAsia"/>
                <w:lang w:eastAsia="zh-CN"/>
              </w:rPr>
              <w:t xml:space="preserve"> the </w:t>
            </w:r>
            <w:r w:rsidRPr="00603D77">
              <w:rPr>
                <w:rFonts w:eastAsia="Times New Roman"/>
                <w:lang w:eastAsia="zh-CN"/>
              </w:rPr>
              <w:t>requirements</w:t>
            </w:r>
            <w:r w:rsidRPr="00603D77">
              <w:rPr>
                <w:rFonts w:eastAsia="Times New Roman" w:hint="eastAsia"/>
                <w:lang w:eastAsia="zh-CN"/>
              </w:rPr>
              <w:t xml:space="preserve"> </w:t>
            </w:r>
            <w:r w:rsidRPr="00603D77">
              <w:rPr>
                <w:rFonts w:eastAsia="Times New Roman" w:hint="eastAsia"/>
                <w:lang w:eastAsia="ko-KR"/>
              </w:rPr>
              <w:t xml:space="preserve">for when DRX is not in use shall apply. </w:t>
            </w:r>
            <w:r w:rsidRPr="00603D77">
              <w:rPr>
                <w:rFonts w:eastAsia="Times New Roman"/>
                <w:lang w:eastAsia="ko-KR"/>
              </w:rPr>
              <w:t>The applicable measurement accuracy requirements are in clause 9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  <w:r w:rsidRPr="00603D77">
              <w:rPr>
                <w:rFonts w:eastAsia="Times New Roman" w:hint="eastAsia"/>
                <w:lang w:eastAsia="ko-KR"/>
              </w:rPr>
              <w:t>2, 9.3, 9.4 and 9.5</w:t>
            </w:r>
            <w:r w:rsidRPr="00603D77">
              <w:rPr>
                <w:rFonts w:eastAsia="Times New Roman" w:hint="eastAsia"/>
                <w:lang w:eastAsia="zh-CN"/>
              </w:rPr>
              <w:t>.</w:t>
            </w:r>
          </w:p>
        </w:tc>
      </w:tr>
    </w:tbl>
    <w:p w14:paraId="2B0235B3" w14:textId="67CE592D" w:rsidR="009B0AB8" w:rsidRDefault="009B0AB8" w:rsidP="00C80A68">
      <w:pPr>
        <w:rPr>
          <w:rFonts w:eastAsia="ＭＳ 明朝" w:cs="v5.0.0"/>
          <w:lang w:val="en-US" w:eastAsia="ja-JP"/>
        </w:rPr>
      </w:pPr>
    </w:p>
    <w:p w14:paraId="1E59323C" w14:textId="7A2CACDD" w:rsidR="009B0AB8" w:rsidRDefault="0039425D" w:rsidP="009B0AB8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 w:rsidR="009B0AB8"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3AAEEA96" w14:textId="43E29F15" w:rsidR="005201C3" w:rsidRPr="006C1D6D" w:rsidRDefault="005201C3" w:rsidP="005201C3">
      <w:pPr>
        <w:rPr>
          <w:rFonts w:eastAsia="ＭＳ 明朝" w:cs="v5.0.0"/>
          <w:lang w:val="en-US" w:eastAsia="ja-JP"/>
        </w:rPr>
      </w:pPr>
      <w:r w:rsidRPr="005201C3">
        <w:rPr>
          <w:rFonts w:eastAsia="ＭＳ 明朝" w:cs="v5.0.0"/>
          <w:b/>
          <w:lang w:val="en-US" w:eastAsia="ja-JP"/>
        </w:rPr>
        <w:t xml:space="preserve">In NR DC case including EN-DC, NE-DC and NR-NR DC, the same principle as LTE-DC </w:t>
      </w:r>
      <w:r>
        <w:rPr>
          <w:rFonts w:eastAsia="ＭＳ 明朝" w:cs="v5.0.0"/>
          <w:b/>
          <w:lang w:val="en-US" w:eastAsia="ja-JP"/>
        </w:rPr>
        <w:t xml:space="preserve">should be applied. </w:t>
      </w:r>
      <w:r w:rsidRPr="005201C3">
        <w:rPr>
          <w:rFonts w:eastAsia="ＭＳ 明朝" w:cs="v5.0.0"/>
          <w:b/>
          <w:lang w:val="en-US" w:eastAsia="ja-JP"/>
        </w:rPr>
        <w:t>I</w:t>
      </w:r>
      <w:r w:rsidR="0039425D">
        <w:rPr>
          <w:rFonts w:eastAsia="ＭＳ 明朝" w:cs="v5.0.0"/>
          <w:b/>
          <w:lang w:val="en-US" w:eastAsia="ja-JP"/>
        </w:rPr>
        <w:t>n case of EN-DC</w:t>
      </w:r>
      <w:r w:rsidRPr="005201C3">
        <w:rPr>
          <w:rFonts w:eastAsia="ＭＳ 明朝" w:cs="v5.0.0"/>
          <w:b/>
          <w:lang w:val="en-US" w:eastAsia="ja-JP"/>
        </w:rPr>
        <w:t>, for example, intra-frequency requirements in DRX mode for LTE PCell should apply the MCG DRX cycle and intra-frequency requirements in DRX mode for NR PSCell should apply the SCG DRX cycle.</w:t>
      </w:r>
    </w:p>
    <w:p w14:paraId="17B7A524" w14:textId="636A52A8" w:rsidR="009B0AB8" w:rsidRDefault="009B0AB8" w:rsidP="005201C3">
      <w:pPr>
        <w:rPr>
          <w:rFonts w:eastAsia="ＭＳ 明朝" w:cs="v5.0.0"/>
          <w:b/>
          <w:lang w:val="en-US" w:eastAsia="ja-JP"/>
        </w:rPr>
      </w:pPr>
    </w:p>
    <w:p w14:paraId="00F1F2E4" w14:textId="5CFFD1F8" w:rsidR="005201C3" w:rsidRDefault="005201C3" w:rsidP="005201C3">
      <w:pPr>
        <w:rPr>
          <w:rFonts w:eastAsia="ＭＳ 明朝" w:cs="v5.0.0"/>
          <w:b/>
          <w:lang w:val="en-US" w:eastAsia="ja-JP"/>
        </w:rPr>
      </w:pPr>
    </w:p>
    <w:p w14:paraId="0D3D8D9E" w14:textId="1EF09AB7" w:rsidR="001153DE" w:rsidRPr="001153DE" w:rsidRDefault="001153DE" w:rsidP="00FE5719">
      <w:pPr>
        <w:rPr>
          <w:rFonts w:eastAsia="ＭＳ 明朝" w:cs="v5.0.0"/>
          <w:lang w:val="en-US" w:eastAsia="ja-JP"/>
        </w:rPr>
      </w:pPr>
    </w:p>
    <w:p w14:paraId="431A9E7B" w14:textId="0543626B" w:rsidR="00FE5719" w:rsidRPr="00010F9D" w:rsidRDefault="00010F9D" w:rsidP="00FE5719">
      <w:pPr>
        <w:rPr>
          <w:rFonts w:eastAsia="ＭＳ 明朝" w:cs="v5.0.0"/>
          <w:lang w:val="en-US" w:eastAsia="ja-JP"/>
        </w:rPr>
      </w:pPr>
      <w:r>
        <w:rPr>
          <w:rFonts w:eastAsia="ＭＳ 明朝" w:cs="v5.0.0" w:hint="eastAsia"/>
          <w:lang w:val="en-US" w:eastAsia="ja-JP"/>
        </w:rPr>
        <w:t xml:space="preserve">In addition, measurement period </w:t>
      </w:r>
      <w:r>
        <w:rPr>
          <w:rFonts w:eastAsia="ＭＳ 明朝" w:cs="v5.0.0"/>
          <w:lang w:val="en-US" w:eastAsia="ja-JP"/>
        </w:rPr>
        <w:t xml:space="preserve">in DRX mode </w:t>
      </w:r>
      <w:r>
        <w:rPr>
          <w:rFonts w:eastAsia="ＭＳ 明朝" w:cs="v5.0.0" w:hint="eastAsia"/>
          <w:lang w:val="en-US" w:eastAsia="ja-JP"/>
        </w:rPr>
        <w:t xml:space="preserve">for RLM and beam failure detection </w:t>
      </w:r>
      <w:r>
        <w:rPr>
          <w:rFonts w:eastAsia="ＭＳ 明朝" w:cs="v5.0.0"/>
          <w:lang w:val="en-US" w:eastAsia="ja-JP"/>
        </w:rPr>
        <w:t xml:space="preserve">should also be discussed. We think that same principle as our proposal 1 can be applied to such </w:t>
      </w:r>
      <w:r w:rsidR="000F20BD">
        <w:rPr>
          <w:rFonts w:eastAsia="ＭＳ 明朝" w:cs="v5.0.0"/>
          <w:lang w:val="en-US" w:eastAsia="ja-JP"/>
        </w:rPr>
        <w:t>cases.</w:t>
      </w:r>
    </w:p>
    <w:p w14:paraId="10193FFA" w14:textId="48D69F44" w:rsidR="00B1463F" w:rsidRPr="00010F9D" w:rsidRDefault="00B1463F" w:rsidP="00C80A68">
      <w:pPr>
        <w:rPr>
          <w:rFonts w:eastAsia="ＭＳ 明朝" w:cs="v5.0.0"/>
          <w:lang w:val="en-US" w:eastAsia="ja-JP"/>
        </w:rPr>
      </w:pPr>
    </w:p>
    <w:p w14:paraId="494DA8A5" w14:textId="010AAC6F" w:rsidR="00010F9D" w:rsidRPr="00010F9D" w:rsidRDefault="0039425D" w:rsidP="00010F9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 2</w:t>
      </w:r>
      <w:r w:rsidR="00010F9D" w:rsidRPr="00010F9D">
        <w:rPr>
          <w:rFonts w:eastAsia="ＭＳ 明朝" w:cs="v5.0.0"/>
          <w:b/>
          <w:u w:val="single"/>
          <w:lang w:val="en-US" w:eastAsia="ja-JP"/>
        </w:rPr>
        <w:t>:</w:t>
      </w:r>
    </w:p>
    <w:p w14:paraId="6CA8D7A8" w14:textId="7FD37661" w:rsidR="00FE5719" w:rsidRPr="00010F9D" w:rsidRDefault="00010F9D" w:rsidP="00010F9D">
      <w:pPr>
        <w:rPr>
          <w:rFonts w:eastAsia="ＭＳ 明朝" w:cs="v5.0.0"/>
          <w:b/>
          <w:lang w:val="en-US" w:eastAsia="ja-JP"/>
        </w:rPr>
      </w:pPr>
      <w:r w:rsidRPr="00010F9D">
        <w:rPr>
          <w:rFonts w:eastAsia="ＭＳ 明朝" w:cs="v5.0.0"/>
          <w:b/>
          <w:lang w:val="en-US" w:eastAsia="ja-JP"/>
        </w:rPr>
        <w:t>M</w:t>
      </w:r>
      <w:r w:rsidRPr="00010F9D">
        <w:rPr>
          <w:rFonts w:eastAsia="ＭＳ 明朝" w:cs="v5.0.0" w:hint="eastAsia"/>
          <w:b/>
          <w:lang w:val="en-US" w:eastAsia="ja-JP"/>
        </w:rPr>
        <w:t xml:space="preserve">easurement period </w:t>
      </w:r>
      <w:r w:rsidRPr="00010F9D">
        <w:rPr>
          <w:rFonts w:eastAsia="ＭＳ 明朝" w:cs="v5.0.0"/>
          <w:b/>
          <w:lang w:val="en-US" w:eastAsia="ja-JP"/>
        </w:rPr>
        <w:t xml:space="preserve">in DRX mode </w:t>
      </w:r>
      <w:r w:rsidRPr="00010F9D">
        <w:rPr>
          <w:rFonts w:eastAsia="ＭＳ 明朝" w:cs="v5.0.0" w:hint="eastAsia"/>
          <w:b/>
          <w:lang w:val="en-US" w:eastAsia="ja-JP"/>
        </w:rPr>
        <w:t>for RLM and beam failure detection</w:t>
      </w:r>
      <w:r w:rsidRPr="00010F9D">
        <w:rPr>
          <w:rFonts w:eastAsia="ＭＳ 明朝" w:cs="v5.0.0"/>
          <w:b/>
          <w:lang w:val="en-US" w:eastAsia="ja-JP"/>
        </w:rPr>
        <w:t xml:space="preserve"> should apply the same principle as proposal 1.</w:t>
      </w:r>
    </w:p>
    <w:p w14:paraId="2AB97197" w14:textId="1185E044" w:rsidR="00F8279F" w:rsidRDefault="00F8279F" w:rsidP="00010F9D">
      <w:pPr>
        <w:rPr>
          <w:lang w:eastAsia="zh-CN"/>
        </w:rPr>
      </w:pPr>
    </w:p>
    <w:p w14:paraId="57F93E2F" w14:textId="41F4FD77" w:rsidR="0039425D" w:rsidRPr="0039425D" w:rsidRDefault="0039425D" w:rsidP="00010F9D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Regarding inter-frequency measurement requirements in DRX mode, we </w:t>
      </w:r>
      <w:r>
        <w:rPr>
          <w:rFonts w:eastAsiaTheme="minorEastAsia"/>
          <w:lang w:eastAsia="ja-JP"/>
        </w:rPr>
        <w:t xml:space="preserve">mentioned our views in the </w:t>
      </w:r>
      <w:r>
        <w:rPr>
          <w:rFonts w:eastAsiaTheme="minorEastAsia" w:hint="eastAsia"/>
          <w:lang w:eastAsia="ja-JP"/>
        </w:rPr>
        <w:t>other</w:t>
      </w:r>
      <w:r>
        <w:rPr>
          <w:rFonts w:eastAsiaTheme="minorEastAsia"/>
          <w:lang w:eastAsia="ja-JP"/>
        </w:rPr>
        <w:t xml:space="preserve"> paper [2].</w:t>
      </w:r>
    </w:p>
    <w:p w14:paraId="03D14B17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14:paraId="0F3A5F24" w14:textId="7D9C0E97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 xml:space="preserve">contribution, we provided our view on </w:t>
      </w:r>
      <w:r w:rsidR="001C5D40">
        <w:rPr>
          <w:lang w:eastAsia="ja-JP"/>
        </w:rPr>
        <w:t xml:space="preserve">general </w:t>
      </w:r>
      <w:r w:rsidR="001C5D40" w:rsidRPr="00B35AA4">
        <w:rPr>
          <w:lang w:eastAsia="ja-JP"/>
        </w:rPr>
        <w:t>principle for NR RRM test cases</w:t>
      </w:r>
      <w:r w:rsidR="00B362A4">
        <w:rPr>
          <w:rFonts w:eastAsiaTheme="minorEastAsia"/>
          <w:lang w:eastAsia="ja-JP"/>
        </w:rPr>
        <w:t>. Our</w:t>
      </w:r>
      <w:r>
        <w:rPr>
          <w:rFonts w:eastAsiaTheme="minorEastAsia"/>
          <w:lang w:eastAsia="ja-JP"/>
        </w:rPr>
        <w:t xml:space="preserve"> </w:t>
      </w:r>
      <w:r w:rsidR="00833A28">
        <w:rPr>
          <w:rFonts w:eastAsiaTheme="minorEastAsia"/>
          <w:lang w:eastAsia="ja-JP"/>
        </w:rPr>
        <w:t xml:space="preserve">observations and </w:t>
      </w:r>
      <w:r>
        <w:rPr>
          <w:rFonts w:eastAsiaTheme="minorEastAsia"/>
          <w:lang w:eastAsia="ja-JP"/>
        </w:rPr>
        <w:t>proposals are as follows:</w:t>
      </w:r>
    </w:p>
    <w:p w14:paraId="66E8B256" w14:textId="77777777" w:rsidR="004E78B3" w:rsidRPr="00654891" w:rsidRDefault="004E78B3" w:rsidP="00654891">
      <w:pPr>
        <w:rPr>
          <w:rFonts w:eastAsiaTheme="minorEastAsia"/>
          <w:lang w:eastAsia="ja-JP"/>
        </w:rPr>
      </w:pPr>
    </w:p>
    <w:p w14:paraId="4FBD39CD" w14:textId="77777777" w:rsidR="00712A6E" w:rsidRDefault="00712A6E" w:rsidP="00712A6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14:paraId="295F4823" w14:textId="77777777" w:rsidR="00712A6E" w:rsidRPr="006C1D6D" w:rsidRDefault="00712A6E" w:rsidP="00712A6E">
      <w:pPr>
        <w:rPr>
          <w:rFonts w:eastAsia="ＭＳ 明朝" w:cs="v5.0.0"/>
          <w:lang w:val="en-US" w:eastAsia="ja-JP"/>
        </w:rPr>
      </w:pPr>
      <w:r w:rsidRPr="005201C3">
        <w:rPr>
          <w:rFonts w:eastAsia="ＭＳ 明朝" w:cs="v5.0.0"/>
          <w:b/>
          <w:lang w:val="en-US" w:eastAsia="ja-JP"/>
        </w:rPr>
        <w:t xml:space="preserve">In NR DC case including EN-DC, NE-DC and NR-NR DC, the same principle as LTE-DC </w:t>
      </w:r>
      <w:r>
        <w:rPr>
          <w:rFonts w:eastAsia="ＭＳ 明朝" w:cs="v5.0.0"/>
          <w:b/>
          <w:lang w:val="en-US" w:eastAsia="ja-JP"/>
        </w:rPr>
        <w:t xml:space="preserve">should be applied. </w:t>
      </w:r>
      <w:r w:rsidRPr="005201C3">
        <w:rPr>
          <w:rFonts w:eastAsia="ＭＳ 明朝" w:cs="v5.0.0"/>
          <w:b/>
          <w:lang w:val="en-US" w:eastAsia="ja-JP"/>
        </w:rPr>
        <w:t>I</w:t>
      </w:r>
      <w:r>
        <w:rPr>
          <w:rFonts w:eastAsia="ＭＳ 明朝" w:cs="v5.0.0"/>
          <w:b/>
          <w:lang w:val="en-US" w:eastAsia="ja-JP"/>
        </w:rPr>
        <w:t>n case of EN-DC</w:t>
      </w:r>
      <w:r w:rsidRPr="005201C3">
        <w:rPr>
          <w:rFonts w:eastAsia="ＭＳ 明朝" w:cs="v5.0.0"/>
          <w:b/>
          <w:lang w:val="en-US" w:eastAsia="ja-JP"/>
        </w:rPr>
        <w:t>, for example, intra-frequency requirements in DRX mode for LTE PCell should apply the MCG DRX cycle and intra-frequency requirements in DRX mode for NR PSCell should apply the SCG DRX cycle.</w:t>
      </w:r>
    </w:p>
    <w:p w14:paraId="3780CF54" w14:textId="639E9B43" w:rsidR="00257C96" w:rsidRPr="00712A6E" w:rsidRDefault="00257C96" w:rsidP="00257C96">
      <w:pPr>
        <w:rPr>
          <w:rFonts w:eastAsia="ＭＳ 明朝" w:cs="v5.0.0"/>
          <w:b/>
          <w:lang w:val="en-US" w:eastAsia="ja-JP"/>
        </w:rPr>
      </w:pPr>
    </w:p>
    <w:p w14:paraId="3FF79265" w14:textId="77777777" w:rsidR="00712A6E" w:rsidRPr="00010F9D" w:rsidRDefault="00712A6E" w:rsidP="00712A6E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 2</w:t>
      </w:r>
      <w:r w:rsidRPr="00010F9D">
        <w:rPr>
          <w:rFonts w:eastAsia="ＭＳ 明朝" w:cs="v5.0.0"/>
          <w:b/>
          <w:u w:val="single"/>
          <w:lang w:val="en-US" w:eastAsia="ja-JP"/>
        </w:rPr>
        <w:t>:</w:t>
      </w:r>
    </w:p>
    <w:p w14:paraId="17B7F812" w14:textId="77777777" w:rsidR="00712A6E" w:rsidRPr="00010F9D" w:rsidRDefault="00712A6E" w:rsidP="00712A6E">
      <w:pPr>
        <w:rPr>
          <w:rFonts w:eastAsia="ＭＳ 明朝" w:cs="v5.0.0"/>
          <w:b/>
          <w:lang w:val="en-US" w:eastAsia="ja-JP"/>
        </w:rPr>
      </w:pPr>
      <w:r w:rsidRPr="00010F9D">
        <w:rPr>
          <w:rFonts w:eastAsia="ＭＳ 明朝" w:cs="v5.0.0"/>
          <w:b/>
          <w:lang w:val="en-US" w:eastAsia="ja-JP"/>
        </w:rPr>
        <w:t>M</w:t>
      </w:r>
      <w:r w:rsidRPr="00010F9D">
        <w:rPr>
          <w:rFonts w:eastAsia="ＭＳ 明朝" w:cs="v5.0.0" w:hint="eastAsia"/>
          <w:b/>
          <w:lang w:val="en-US" w:eastAsia="ja-JP"/>
        </w:rPr>
        <w:t xml:space="preserve">easurement period </w:t>
      </w:r>
      <w:r w:rsidRPr="00010F9D">
        <w:rPr>
          <w:rFonts w:eastAsia="ＭＳ 明朝" w:cs="v5.0.0"/>
          <w:b/>
          <w:lang w:val="en-US" w:eastAsia="ja-JP"/>
        </w:rPr>
        <w:t xml:space="preserve">in DRX mode </w:t>
      </w:r>
      <w:r w:rsidRPr="00010F9D">
        <w:rPr>
          <w:rFonts w:eastAsia="ＭＳ 明朝" w:cs="v5.0.0" w:hint="eastAsia"/>
          <w:b/>
          <w:lang w:val="en-US" w:eastAsia="ja-JP"/>
        </w:rPr>
        <w:t>for RLM and beam failure detection</w:t>
      </w:r>
      <w:r w:rsidRPr="00010F9D">
        <w:rPr>
          <w:rFonts w:eastAsia="ＭＳ 明朝" w:cs="v5.0.0"/>
          <w:b/>
          <w:lang w:val="en-US" w:eastAsia="ja-JP"/>
        </w:rPr>
        <w:t xml:space="preserve"> should apply the same principle as proposal 1.</w:t>
      </w:r>
    </w:p>
    <w:p w14:paraId="6F2387D4" w14:textId="77777777" w:rsidR="00257C96" w:rsidRPr="00712A6E" w:rsidRDefault="00257C96">
      <w:pPr>
        <w:rPr>
          <w:rFonts w:eastAsiaTheme="minorEastAsia"/>
          <w:lang w:val="en-US" w:eastAsia="ja-JP"/>
        </w:rPr>
      </w:pPr>
    </w:p>
    <w:p w14:paraId="6A067122" w14:textId="46FCE841" w:rsidR="00A375FC" w:rsidRDefault="00A375FC" w:rsidP="00A375FC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349814B6" w14:textId="7C3C62B5" w:rsidR="00A375FC" w:rsidRDefault="003219AE">
      <w:pPr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[</w:t>
      </w:r>
      <w:r w:rsidR="00E325DD">
        <w:rPr>
          <w:rFonts w:eastAsiaTheme="minorEastAsia"/>
          <w:lang w:val="en-US" w:eastAsia="ja-JP"/>
        </w:rPr>
        <w:t>1</w:t>
      </w:r>
      <w:r w:rsidR="00A375FC">
        <w:rPr>
          <w:rFonts w:eastAsiaTheme="minorEastAsia" w:hint="eastAsia"/>
          <w:lang w:val="en-US" w:eastAsia="ja-JP"/>
        </w:rPr>
        <w:t xml:space="preserve">] </w:t>
      </w:r>
      <w:r w:rsidR="00FB6F68">
        <w:rPr>
          <w:rFonts w:eastAsiaTheme="minorEastAsia"/>
          <w:lang w:val="en-US" w:eastAsia="ja-JP"/>
        </w:rPr>
        <w:t>TS36.133</w:t>
      </w:r>
    </w:p>
    <w:p w14:paraId="33A3A5CD" w14:textId="3F345AC4" w:rsidR="00712A6E" w:rsidRPr="00E325DD" w:rsidRDefault="00712A6E">
      <w:pPr>
        <w:rPr>
          <w:rFonts w:eastAsiaTheme="minorEastAsia"/>
          <w:lang w:val="en-US" w:eastAsia="ja-JP"/>
        </w:rPr>
      </w:pPr>
      <w:r>
        <w:rPr>
          <w:rFonts w:eastAsiaTheme="minorEastAsia"/>
          <w:lang w:val="en-US" w:eastAsia="ja-JP"/>
        </w:rPr>
        <w:t>[2] R4-181</w:t>
      </w:r>
      <w:r w:rsidR="00AC3325">
        <w:rPr>
          <w:rFonts w:eastAsiaTheme="minorEastAsia"/>
          <w:lang w:val="en-US" w:eastAsia="ja-JP"/>
        </w:rPr>
        <w:t>2710</w:t>
      </w:r>
      <w:r>
        <w:rPr>
          <w:rFonts w:eastAsiaTheme="minorEastAsia"/>
          <w:lang w:val="en-US" w:eastAsia="ja-JP"/>
        </w:rPr>
        <w:t>,</w:t>
      </w:r>
      <w:r w:rsidR="00AC3325">
        <w:rPr>
          <w:rFonts w:eastAsiaTheme="minorEastAsia"/>
          <w:lang w:val="en-US" w:eastAsia="ja-JP"/>
        </w:rPr>
        <w:t xml:space="preserve"> “</w:t>
      </w:r>
      <w:r w:rsidR="00AC3325" w:rsidRPr="00AC3325">
        <w:rPr>
          <w:rFonts w:eastAsiaTheme="minorEastAsia"/>
          <w:lang w:val="en-US" w:eastAsia="ja-JP"/>
        </w:rPr>
        <w:t>Inter-frequency measurement requirements in DRX mode</w:t>
      </w:r>
      <w:r w:rsidR="00AC3325">
        <w:rPr>
          <w:rFonts w:eastAsiaTheme="minorEastAsia"/>
          <w:lang w:val="en-US" w:eastAsia="ja-JP"/>
        </w:rPr>
        <w:t>”, NTT DOCOMO, INC.</w:t>
      </w:r>
      <w:bookmarkStart w:id="0" w:name="_GoBack"/>
      <w:bookmarkEnd w:id="0"/>
      <w:r>
        <w:rPr>
          <w:rFonts w:eastAsiaTheme="minorEastAsia"/>
          <w:lang w:val="en-US" w:eastAsia="ja-JP"/>
        </w:rPr>
        <w:t xml:space="preserve"> </w:t>
      </w:r>
    </w:p>
    <w:sectPr w:rsidR="00712A6E" w:rsidRPr="00E325DD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B092A" w14:textId="77777777" w:rsidR="00ED77F4" w:rsidRDefault="00ED77F4" w:rsidP="00540D5C">
      <w:r>
        <w:separator/>
      </w:r>
    </w:p>
  </w:endnote>
  <w:endnote w:type="continuationSeparator" w:id="0">
    <w:p w14:paraId="569D2669" w14:textId="77777777" w:rsidR="00ED77F4" w:rsidRDefault="00ED77F4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F0E83" w14:textId="77777777" w:rsidR="00ED77F4" w:rsidRDefault="00ED77F4" w:rsidP="00540D5C">
      <w:r>
        <w:separator/>
      </w:r>
    </w:p>
  </w:footnote>
  <w:footnote w:type="continuationSeparator" w:id="0">
    <w:p w14:paraId="3F839F5D" w14:textId="77777777" w:rsidR="00ED77F4" w:rsidRDefault="00ED77F4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B01F96"/>
    <w:multiLevelType w:val="hybridMultilevel"/>
    <w:tmpl w:val="76308BFC"/>
    <w:lvl w:ilvl="0" w:tplc="D0DAB20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7674A5"/>
    <w:multiLevelType w:val="hybridMultilevel"/>
    <w:tmpl w:val="841A43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10" w15:restartNumberingAfterBreak="0">
    <w:nsid w:val="68ED18DB"/>
    <w:multiLevelType w:val="hybridMultilevel"/>
    <w:tmpl w:val="78AA9582"/>
    <w:lvl w:ilvl="0" w:tplc="198A02A2">
      <w:start w:val="2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"/>
  </w:num>
  <w:num w:numId="9">
    <w:abstractNumId w:val="3"/>
  </w:num>
  <w:num w:numId="10">
    <w:abstractNumId w:val="12"/>
  </w:num>
  <w:num w:numId="11">
    <w:abstractNumId w:val="10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4BD"/>
    <w:rsid w:val="00003B41"/>
    <w:rsid w:val="0000480E"/>
    <w:rsid w:val="0000535A"/>
    <w:rsid w:val="00010F9D"/>
    <w:rsid w:val="000123EB"/>
    <w:rsid w:val="00037829"/>
    <w:rsid w:val="00041FC6"/>
    <w:rsid w:val="00042F45"/>
    <w:rsid w:val="000510E7"/>
    <w:rsid w:val="00057573"/>
    <w:rsid w:val="00060062"/>
    <w:rsid w:val="00093AED"/>
    <w:rsid w:val="000948B1"/>
    <w:rsid w:val="000A04B1"/>
    <w:rsid w:val="000A51AB"/>
    <w:rsid w:val="000A6BBC"/>
    <w:rsid w:val="000A71D6"/>
    <w:rsid w:val="000B5097"/>
    <w:rsid w:val="000B7069"/>
    <w:rsid w:val="000C1843"/>
    <w:rsid w:val="000C4D47"/>
    <w:rsid w:val="000C78B0"/>
    <w:rsid w:val="000D0320"/>
    <w:rsid w:val="000D16F1"/>
    <w:rsid w:val="000D3470"/>
    <w:rsid w:val="000D3AC4"/>
    <w:rsid w:val="000D7476"/>
    <w:rsid w:val="000F00E8"/>
    <w:rsid w:val="000F02C4"/>
    <w:rsid w:val="000F20BD"/>
    <w:rsid w:val="000F212E"/>
    <w:rsid w:val="00100D5A"/>
    <w:rsid w:val="00114639"/>
    <w:rsid w:val="00114C5F"/>
    <w:rsid w:val="001153DE"/>
    <w:rsid w:val="001205D3"/>
    <w:rsid w:val="00120ABF"/>
    <w:rsid w:val="00134132"/>
    <w:rsid w:val="00147CFD"/>
    <w:rsid w:val="00156CD3"/>
    <w:rsid w:val="001830DB"/>
    <w:rsid w:val="0018484E"/>
    <w:rsid w:val="001C3CF8"/>
    <w:rsid w:val="001C4CBC"/>
    <w:rsid w:val="001C5D40"/>
    <w:rsid w:val="001C669D"/>
    <w:rsid w:val="001C6EB5"/>
    <w:rsid w:val="001C75B2"/>
    <w:rsid w:val="001D03CA"/>
    <w:rsid w:val="001D7E7B"/>
    <w:rsid w:val="001E10E3"/>
    <w:rsid w:val="001F534C"/>
    <w:rsid w:val="002018FC"/>
    <w:rsid w:val="0021622D"/>
    <w:rsid w:val="002319D8"/>
    <w:rsid w:val="00232ACC"/>
    <w:rsid w:val="00245AE7"/>
    <w:rsid w:val="00251BC1"/>
    <w:rsid w:val="00253875"/>
    <w:rsid w:val="00257C96"/>
    <w:rsid w:val="002706E7"/>
    <w:rsid w:val="0027599D"/>
    <w:rsid w:val="00285B82"/>
    <w:rsid w:val="002959BC"/>
    <w:rsid w:val="00296283"/>
    <w:rsid w:val="002A1205"/>
    <w:rsid w:val="002A6114"/>
    <w:rsid w:val="002A7CF3"/>
    <w:rsid w:val="002B3046"/>
    <w:rsid w:val="002C5E1F"/>
    <w:rsid w:val="002D0D1F"/>
    <w:rsid w:val="002D3EB3"/>
    <w:rsid w:val="002E72A6"/>
    <w:rsid w:val="003060E1"/>
    <w:rsid w:val="00312639"/>
    <w:rsid w:val="003176DD"/>
    <w:rsid w:val="0032127A"/>
    <w:rsid w:val="003219AE"/>
    <w:rsid w:val="00334614"/>
    <w:rsid w:val="0035306D"/>
    <w:rsid w:val="00354827"/>
    <w:rsid w:val="00355C67"/>
    <w:rsid w:val="00366904"/>
    <w:rsid w:val="003718C0"/>
    <w:rsid w:val="00376FAB"/>
    <w:rsid w:val="003919EA"/>
    <w:rsid w:val="003931AA"/>
    <w:rsid w:val="0039425D"/>
    <w:rsid w:val="003A02D7"/>
    <w:rsid w:val="003A2F94"/>
    <w:rsid w:val="003A3D0F"/>
    <w:rsid w:val="003A41FE"/>
    <w:rsid w:val="003A5ECC"/>
    <w:rsid w:val="003C53BD"/>
    <w:rsid w:val="003C5E6B"/>
    <w:rsid w:val="003D3CC3"/>
    <w:rsid w:val="003D6D00"/>
    <w:rsid w:val="003E017A"/>
    <w:rsid w:val="003E2C1E"/>
    <w:rsid w:val="003E49C3"/>
    <w:rsid w:val="003E7C78"/>
    <w:rsid w:val="00403EA9"/>
    <w:rsid w:val="00411528"/>
    <w:rsid w:val="0041678A"/>
    <w:rsid w:val="004235F7"/>
    <w:rsid w:val="004253A1"/>
    <w:rsid w:val="00427983"/>
    <w:rsid w:val="00430296"/>
    <w:rsid w:val="00430DFC"/>
    <w:rsid w:val="0043126C"/>
    <w:rsid w:val="00431294"/>
    <w:rsid w:val="0043401F"/>
    <w:rsid w:val="00451121"/>
    <w:rsid w:val="00461F41"/>
    <w:rsid w:val="00463C29"/>
    <w:rsid w:val="004650FF"/>
    <w:rsid w:val="0046695E"/>
    <w:rsid w:val="00466E5C"/>
    <w:rsid w:val="004717AC"/>
    <w:rsid w:val="0048106F"/>
    <w:rsid w:val="004873A9"/>
    <w:rsid w:val="004975BA"/>
    <w:rsid w:val="00497E0B"/>
    <w:rsid w:val="004A4FEF"/>
    <w:rsid w:val="004B10D6"/>
    <w:rsid w:val="004B53C3"/>
    <w:rsid w:val="004C453C"/>
    <w:rsid w:val="004C7FF5"/>
    <w:rsid w:val="004D1473"/>
    <w:rsid w:val="004D27F4"/>
    <w:rsid w:val="004D2FD3"/>
    <w:rsid w:val="004E026C"/>
    <w:rsid w:val="004E78B3"/>
    <w:rsid w:val="004F1CA4"/>
    <w:rsid w:val="0050001E"/>
    <w:rsid w:val="005004D0"/>
    <w:rsid w:val="00514309"/>
    <w:rsid w:val="005152EA"/>
    <w:rsid w:val="005201C3"/>
    <w:rsid w:val="00526490"/>
    <w:rsid w:val="00532AC3"/>
    <w:rsid w:val="00540D5C"/>
    <w:rsid w:val="0054234D"/>
    <w:rsid w:val="005500D0"/>
    <w:rsid w:val="00551442"/>
    <w:rsid w:val="0056280A"/>
    <w:rsid w:val="005703DA"/>
    <w:rsid w:val="00571AFB"/>
    <w:rsid w:val="00585C55"/>
    <w:rsid w:val="00585EE3"/>
    <w:rsid w:val="00592D59"/>
    <w:rsid w:val="005A74EC"/>
    <w:rsid w:val="005B33D7"/>
    <w:rsid w:val="005B3F47"/>
    <w:rsid w:val="005B53FE"/>
    <w:rsid w:val="005C4753"/>
    <w:rsid w:val="005D3FB2"/>
    <w:rsid w:val="005D58FF"/>
    <w:rsid w:val="005E2EF8"/>
    <w:rsid w:val="005E3D15"/>
    <w:rsid w:val="005E3EA3"/>
    <w:rsid w:val="005E7A74"/>
    <w:rsid w:val="005F4E73"/>
    <w:rsid w:val="00603D77"/>
    <w:rsid w:val="0061054C"/>
    <w:rsid w:val="00610EF1"/>
    <w:rsid w:val="00623840"/>
    <w:rsid w:val="00640884"/>
    <w:rsid w:val="00640A56"/>
    <w:rsid w:val="00646B87"/>
    <w:rsid w:val="00653ED5"/>
    <w:rsid w:val="00654891"/>
    <w:rsid w:val="00657CAC"/>
    <w:rsid w:val="00666A2D"/>
    <w:rsid w:val="006766E8"/>
    <w:rsid w:val="00681209"/>
    <w:rsid w:val="00684A07"/>
    <w:rsid w:val="00687116"/>
    <w:rsid w:val="0069265F"/>
    <w:rsid w:val="0069776D"/>
    <w:rsid w:val="006A4D35"/>
    <w:rsid w:val="006A572F"/>
    <w:rsid w:val="006B1744"/>
    <w:rsid w:val="006B32D8"/>
    <w:rsid w:val="006B3603"/>
    <w:rsid w:val="006B5F50"/>
    <w:rsid w:val="006C1D6D"/>
    <w:rsid w:val="006C3F31"/>
    <w:rsid w:val="006D48DA"/>
    <w:rsid w:val="00700F96"/>
    <w:rsid w:val="007113EC"/>
    <w:rsid w:val="00712A6E"/>
    <w:rsid w:val="00715F77"/>
    <w:rsid w:val="007206C6"/>
    <w:rsid w:val="00722859"/>
    <w:rsid w:val="00723040"/>
    <w:rsid w:val="00741B79"/>
    <w:rsid w:val="007541D0"/>
    <w:rsid w:val="00766986"/>
    <w:rsid w:val="00766EC1"/>
    <w:rsid w:val="00770A7A"/>
    <w:rsid w:val="00785267"/>
    <w:rsid w:val="007B3B11"/>
    <w:rsid w:val="007B7F18"/>
    <w:rsid w:val="007C1B50"/>
    <w:rsid w:val="007C512A"/>
    <w:rsid w:val="007F50E1"/>
    <w:rsid w:val="007F6D29"/>
    <w:rsid w:val="00801D45"/>
    <w:rsid w:val="00814CD3"/>
    <w:rsid w:val="008334F8"/>
    <w:rsid w:val="00833A28"/>
    <w:rsid w:val="00833FB8"/>
    <w:rsid w:val="00837C0B"/>
    <w:rsid w:val="00845F6F"/>
    <w:rsid w:val="00847095"/>
    <w:rsid w:val="0084710E"/>
    <w:rsid w:val="00847A90"/>
    <w:rsid w:val="00855EC3"/>
    <w:rsid w:val="00862A08"/>
    <w:rsid w:val="00863158"/>
    <w:rsid w:val="00864D54"/>
    <w:rsid w:val="00870E9F"/>
    <w:rsid w:val="0087523B"/>
    <w:rsid w:val="00880441"/>
    <w:rsid w:val="0088164D"/>
    <w:rsid w:val="00882727"/>
    <w:rsid w:val="00882A05"/>
    <w:rsid w:val="0088519A"/>
    <w:rsid w:val="00893367"/>
    <w:rsid w:val="00896608"/>
    <w:rsid w:val="008A632B"/>
    <w:rsid w:val="008A7753"/>
    <w:rsid w:val="008C017A"/>
    <w:rsid w:val="008C359E"/>
    <w:rsid w:val="008D41CA"/>
    <w:rsid w:val="008D6A4F"/>
    <w:rsid w:val="008E5A13"/>
    <w:rsid w:val="008E79A2"/>
    <w:rsid w:val="008F0044"/>
    <w:rsid w:val="008F7745"/>
    <w:rsid w:val="00902260"/>
    <w:rsid w:val="00902EAF"/>
    <w:rsid w:val="00905537"/>
    <w:rsid w:val="009135D3"/>
    <w:rsid w:val="00914730"/>
    <w:rsid w:val="00914A60"/>
    <w:rsid w:val="0093253B"/>
    <w:rsid w:val="0094177B"/>
    <w:rsid w:val="009437BB"/>
    <w:rsid w:val="009668F2"/>
    <w:rsid w:val="009728CC"/>
    <w:rsid w:val="00973292"/>
    <w:rsid w:val="00973CF4"/>
    <w:rsid w:val="00976E32"/>
    <w:rsid w:val="009809E9"/>
    <w:rsid w:val="0098715A"/>
    <w:rsid w:val="009A0DF1"/>
    <w:rsid w:val="009A50EE"/>
    <w:rsid w:val="009B0AB8"/>
    <w:rsid w:val="009D1930"/>
    <w:rsid w:val="009E1D92"/>
    <w:rsid w:val="009F1211"/>
    <w:rsid w:val="009F3E2A"/>
    <w:rsid w:val="00A059CD"/>
    <w:rsid w:val="00A067EF"/>
    <w:rsid w:val="00A07AA3"/>
    <w:rsid w:val="00A1443A"/>
    <w:rsid w:val="00A2121F"/>
    <w:rsid w:val="00A26FBD"/>
    <w:rsid w:val="00A375FC"/>
    <w:rsid w:val="00A40FCB"/>
    <w:rsid w:val="00A45E9B"/>
    <w:rsid w:val="00A461C6"/>
    <w:rsid w:val="00A47A32"/>
    <w:rsid w:val="00A510E2"/>
    <w:rsid w:val="00A51529"/>
    <w:rsid w:val="00A70F69"/>
    <w:rsid w:val="00A74A7E"/>
    <w:rsid w:val="00A95B4B"/>
    <w:rsid w:val="00AC3325"/>
    <w:rsid w:val="00AD0335"/>
    <w:rsid w:val="00AE695C"/>
    <w:rsid w:val="00AF084A"/>
    <w:rsid w:val="00B02767"/>
    <w:rsid w:val="00B05945"/>
    <w:rsid w:val="00B12C6D"/>
    <w:rsid w:val="00B1463F"/>
    <w:rsid w:val="00B2513D"/>
    <w:rsid w:val="00B2707C"/>
    <w:rsid w:val="00B3510A"/>
    <w:rsid w:val="00B35AA4"/>
    <w:rsid w:val="00B362A4"/>
    <w:rsid w:val="00B51F1B"/>
    <w:rsid w:val="00B57347"/>
    <w:rsid w:val="00B62770"/>
    <w:rsid w:val="00B72BA5"/>
    <w:rsid w:val="00B74292"/>
    <w:rsid w:val="00B863A4"/>
    <w:rsid w:val="00B879FC"/>
    <w:rsid w:val="00B94507"/>
    <w:rsid w:val="00B953DD"/>
    <w:rsid w:val="00BA40BE"/>
    <w:rsid w:val="00BC213B"/>
    <w:rsid w:val="00BC6148"/>
    <w:rsid w:val="00BD07B0"/>
    <w:rsid w:val="00BD2445"/>
    <w:rsid w:val="00BD245D"/>
    <w:rsid w:val="00BD420C"/>
    <w:rsid w:val="00BD48A1"/>
    <w:rsid w:val="00BD665A"/>
    <w:rsid w:val="00BE033F"/>
    <w:rsid w:val="00BE5DBF"/>
    <w:rsid w:val="00C11209"/>
    <w:rsid w:val="00C249FD"/>
    <w:rsid w:val="00C402E3"/>
    <w:rsid w:val="00C56568"/>
    <w:rsid w:val="00C56F4E"/>
    <w:rsid w:val="00C64C73"/>
    <w:rsid w:val="00C6609A"/>
    <w:rsid w:val="00C746BF"/>
    <w:rsid w:val="00C80A68"/>
    <w:rsid w:val="00C816FB"/>
    <w:rsid w:val="00C91AE7"/>
    <w:rsid w:val="00C96EF5"/>
    <w:rsid w:val="00CA08E2"/>
    <w:rsid w:val="00CA1688"/>
    <w:rsid w:val="00CA2679"/>
    <w:rsid w:val="00CB2C4D"/>
    <w:rsid w:val="00CD5F49"/>
    <w:rsid w:val="00CE1467"/>
    <w:rsid w:val="00D0768B"/>
    <w:rsid w:val="00D304BD"/>
    <w:rsid w:val="00D33E82"/>
    <w:rsid w:val="00D57BC8"/>
    <w:rsid w:val="00D60EE0"/>
    <w:rsid w:val="00D63630"/>
    <w:rsid w:val="00D65665"/>
    <w:rsid w:val="00D67358"/>
    <w:rsid w:val="00D725A5"/>
    <w:rsid w:val="00D8026C"/>
    <w:rsid w:val="00D84790"/>
    <w:rsid w:val="00D9159F"/>
    <w:rsid w:val="00DA16D9"/>
    <w:rsid w:val="00DA3584"/>
    <w:rsid w:val="00DA7E02"/>
    <w:rsid w:val="00DB0284"/>
    <w:rsid w:val="00DB632A"/>
    <w:rsid w:val="00DC7043"/>
    <w:rsid w:val="00DC7C1C"/>
    <w:rsid w:val="00DD43F2"/>
    <w:rsid w:val="00DD7275"/>
    <w:rsid w:val="00DE3222"/>
    <w:rsid w:val="00DE3EBB"/>
    <w:rsid w:val="00DF0052"/>
    <w:rsid w:val="00DF120D"/>
    <w:rsid w:val="00DF2849"/>
    <w:rsid w:val="00DF73F0"/>
    <w:rsid w:val="00E0326F"/>
    <w:rsid w:val="00E03447"/>
    <w:rsid w:val="00E03B99"/>
    <w:rsid w:val="00E138E6"/>
    <w:rsid w:val="00E20CE0"/>
    <w:rsid w:val="00E325DD"/>
    <w:rsid w:val="00E32A17"/>
    <w:rsid w:val="00E34FF5"/>
    <w:rsid w:val="00E35EC3"/>
    <w:rsid w:val="00E43BDD"/>
    <w:rsid w:val="00E465F6"/>
    <w:rsid w:val="00E46F02"/>
    <w:rsid w:val="00E516E8"/>
    <w:rsid w:val="00E552B8"/>
    <w:rsid w:val="00E56E1B"/>
    <w:rsid w:val="00E64020"/>
    <w:rsid w:val="00E75888"/>
    <w:rsid w:val="00E76AF6"/>
    <w:rsid w:val="00E80F8D"/>
    <w:rsid w:val="00E943EC"/>
    <w:rsid w:val="00EA4A7F"/>
    <w:rsid w:val="00EB5C92"/>
    <w:rsid w:val="00EB69D2"/>
    <w:rsid w:val="00EC424A"/>
    <w:rsid w:val="00EC6164"/>
    <w:rsid w:val="00EC64F1"/>
    <w:rsid w:val="00ED1A0F"/>
    <w:rsid w:val="00ED77F4"/>
    <w:rsid w:val="00EE20E4"/>
    <w:rsid w:val="00F11B42"/>
    <w:rsid w:val="00F14F28"/>
    <w:rsid w:val="00F24415"/>
    <w:rsid w:val="00F3266F"/>
    <w:rsid w:val="00F4298B"/>
    <w:rsid w:val="00F52E5E"/>
    <w:rsid w:val="00F665E2"/>
    <w:rsid w:val="00F67FA8"/>
    <w:rsid w:val="00F825EA"/>
    <w:rsid w:val="00F8279F"/>
    <w:rsid w:val="00F85E97"/>
    <w:rsid w:val="00F92B36"/>
    <w:rsid w:val="00F954FC"/>
    <w:rsid w:val="00F95E0F"/>
    <w:rsid w:val="00F96917"/>
    <w:rsid w:val="00F96925"/>
    <w:rsid w:val="00FA0806"/>
    <w:rsid w:val="00FA176E"/>
    <w:rsid w:val="00FB6F68"/>
    <w:rsid w:val="00FB78AA"/>
    <w:rsid w:val="00FC4F77"/>
    <w:rsid w:val="00FC65E1"/>
    <w:rsid w:val="00FC6CAB"/>
    <w:rsid w:val="00FD10A8"/>
    <w:rsid w:val="00FD7894"/>
    <w:rsid w:val="00FE1153"/>
    <w:rsid w:val="00FE5719"/>
    <w:rsid w:val="00FE6722"/>
    <w:rsid w:val="00FE7183"/>
    <w:rsid w:val="00FE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6BF0BED"/>
  <w15:docId w15:val="{6327010E-C561-423D-881A-AFBE9FDF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03D77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30">
    <w:name w:val="見出し 3 (文字)"/>
    <w:basedOn w:val="a0"/>
    <w:link w:val="3"/>
    <w:uiPriority w:val="9"/>
    <w:semiHidden/>
    <w:rsid w:val="00603D77"/>
    <w:rPr>
      <w:rFonts w:asciiTheme="majorHAnsi" w:eastAsiaTheme="majorEastAsia" w:hAnsiTheme="majorHAnsi" w:cstheme="majorBidi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B0CD7-A163-4EB8-B9E7-748E0E01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1</TotalTime>
  <Pages>2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3</cp:revision>
  <dcterms:created xsi:type="dcterms:W3CDTF">2018-09-28T10:46:00Z</dcterms:created>
  <dcterms:modified xsi:type="dcterms:W3CDTF">2018-09-28T10:48:00Z</dcterms:modified>
</cp:coreProperties>
</file>